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DCCEE" w14:textId="77777777" w:rsidR="00B641BD" w:rsidRDefault="00B641BD" w:rsidP="00B641BD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EG"/>
        </w:rPr>
      </w:pPr>
    </w:p>
    <w:p w14:paraId="75EAA343" w14:textId="222364FC" w:rsidR="00644CDF" w:rsidRPr="00F24920" w:rsidRDefault="00F11112" w:rsidP="00071A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rtl/>
          <w:lang w:bidi="ar-EG"/>
        </w:rPr>
        <w:t xml:space="preserve"> خبر صحفي </w:t>
      </w:r>
    </w:p>
    <w:p w14:paraId="092C8B7F" w14:textId="09EB8F75" w:rsidR="00015944" w:rsidRPr="00F24920" w:rsidRDefault="00015944" w:rsidP="00071A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</w:p>
    <w:p w14:paraId="2CEB2A7C" w14:textId="3B8434FE" w:rsidR="00F5142C" w:rsidRPr="00F24920" w:rsidRDefault="00C0477C" w:rsidP="00071AE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ar-EG"/>
        </w:rPr>
      </w:pPr>
      <w:r w:rsidRPr="00F24920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ar-EG"/>
        </w:rPr>
        <w:t>ورشة</w:t>
      </w:r>
      <w:r w:rsidRPr="00F24920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24920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ar-EG"/>
        </w:rPr>
        <w:t>عمل</w:t>
      </w:r>
      <w:r w:rsidRPr="00F24920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24920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ar-EG"/>
        </w:rPr>
        <w:t>حول أساسيات</w:t>
      </w:r>
      <w:r w:rsidRPr="00F24920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24920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ar-EG"/>
        </w:rPr>
        <w:t>التجارة</w:t>
      </w:r>
      <w:r w:rsidRPr="00F24920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24920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ar-EG"/>
        </w:rPr>
        <w:t>في</w:t>
      </w:r>
      <w:r w:rsidRPr="00F24920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24920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ar-EG"/>
        </w:rPr>
        <w:t>الخدمات</w:t>
      </w:r>
      <w:r w:rsidRPr="00F24920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24920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ar-EG"/>
        </w:rPr>
        <w:t>للمفاوضين</w:t>
      </w:r>
      <w:r w:rsidRPr="00F24920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24920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ar-EG"/>
        </w:rPr>
        <w:t>التجاريين</w:t>
      </w:r>
      <w:r w:rsidRPr="00F24920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24920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ar-EG"/>
        </w:rPr>
        <w:t>في</w:t>
      </w:r>
      <w:r w:rsidRPr="00F24920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24920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ar-EG"/>
        </w:rPr>
        <w:t>حكومة</w:t>
      </w:r>
      <w:r w:rsidRPr="00F24920">
        <w:rPr>
          <w:rFonts w:asciiTheme="majorBidi" w:hAnsiTheme="majorBidi" w:cs="Times New Roman"/>
          <w:b/>
          <w:bCs/>
          <w:color w:val="000000" w:themeColor="text1"/>
          <w:sz w:val="28"/>
          <w:szCs w:val="28"/>
          <w:rtl/>
          <w:lang w:bidi="ar-EG"/>
        </w:rPr>
        <w:t xml:space="preserve"> </w:t>
      </w:r>
      <w:r w:rsidRPr="00F24920">
        <w:rPr>
          <w:rFonts w:asciiTheme="majorBidi" w:hAnsiTheme="majorBidi" w:cs="Times New Roman" w:hint="cs"/>
          <w:b/>
          <w:bCs/>
          <w:color w:val="000000" w:themeColor="text1"/>
          <w:sz w:val="28"/>
          <w:szCs w:val="28"/>
          <w:rtl/>
          <w:lang w:bidi="ar-EG"/>
        </w:rPr>
        <w:t>العراق</w:t>
      </w:r>
    </w:p>
    <w:p w14:paraId="601FCEBD" w14:textId="5D29AB4E" w:rsidR="00F11112" w:rsidRDefault="00F11112" w:rsidP="00071AE3">
      <w:pPr>
        <w:bidi/>
        <w:jc w:val="lowKashida"/>
        <w:rPr>
          <w:rFonts w:asciiTheme="majorBidi" w:hAnsiTheme="majorBidi" w:cs="Times New Roman"/>
          <w:bCs/>
          <w:color w:val="000000" w:themeColor="text1"/>
          <w:sz w:val="24"/>
          <w:szCs w:val="24"/>
          <w:lang w:bidi="ar-EG"/>
        </w:rPr>
      </w:pPr>
    </w:p>
    <w:p w14:paraId="663E6519" w14:textId="6F593246" w:rsidR="00F23C15" w:rsidRPr="00F11112" w:rsidRDefault="00F11112" w:rsidP="00F6768B">
      <w:pPr>
        <w:bidi/>
        <w:spacing w:after="0" w:line="240" w:lineRule="auto"/>
        <w:jc w:val="lowKashida"/>
        <w:rPr>
          <w:rFonts w:asciiTheme="majorBidi" w:hAnsiTheme="majorBidi" w:cstheme="majorBidi"/>
          <w:b/>
          <w:color w:val="000000" w:themeColor="text1"/>
          <w:sz w:val="24"/>
          <w:szCs w:val="24"/>
          <w:rtl/>
          <w:lang w:bidi="ar-EG"/>
        </w:rPr>
      </w:pPr>
      <w:r>
        <w:rPr>
          <w:rFonts w:asciiTheme="majorBidi" w:hAnsiTheme="majorBidi" w:cs="Times New Roman" w:hint="cs"/>
          <w:bCs/>
          <w:color w:val="000000" w:themeColor="text1"/>
          <w:sz w:val="24"/>
          <w:szCs w:val="24"/>
          <w:rtl/>
          <w:lang w:bidi="ar-EG"/>
        </w:rPr>
        <w:t xml:space="preserve">في إطار التعاون بين 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F6768B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 xml:space="preserve">ادارة التكامل الاقتصادي العربي </w:t>
      </w:r>
      <w:r w:rsidR="00F6768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F6768B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و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برنامج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الأمم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المتحدة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الإنمائي</w:t>
      </w:r>
      <w:r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 xml:space="preserve"> ،</w:t>
      </w:r>
      <w:r w:rsidR="00F6768B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 xml:space="preserve">في إطار مشروع </w:t>
      </w:r>
      <w:r w:rsidR="00F6768B" w:rsidRPr="00F6768B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 xml:space="preserve">المساعدة من أجل التجارة تعزيز التكامل </w:t>
      </w:r>
      <w:r w:rsidR="00F6768B" w:rsidRPr="00F6768B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الاقتصادي</w:t>
      </w:r>
      <w:r w:rsidR="00F6768B" w:rsidRPr="00F6768B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 xml:space="preserve"> العربي من أجل التنمية المستدامة</w:t>
      </w:r>
      <w:r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 xml:space="preserve"> قدم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برنامج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الأمم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المتحدة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الإنمائي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دعمه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للفريق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الوطني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للمفاوضين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التجاريين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لحكومة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العراق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في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مجال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التجارة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في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الخدمات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كخطوة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أولى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نحو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تصميم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C416BF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 xml:space="preserve">جدول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الالتزامات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لانضمام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العراق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إلى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الاتفاق</w:t>
      </w:r>
      <w:r w:rsidR="00C416BF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ية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العربي</w:t>
      </w:r>
      <w:r w:rsidR="00C416BF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ة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C416BF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ل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لتجارة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في</w:t>
      </w:r>
      <w:r w:rsidR="00A7106B" w:rsidRPr="00F24920">
        <w:rPr>
          <w:rFonts w:asciiTheme="majorBidi" w:hAnsiTheme="majorBidi" w:cs="Times New Roman"/>
          <w:b/>
          <w:color w:val="000000" w:themeColor="text1"/>
          <w:sz w:val="24"/>
          <w:szCs w:val="24"/>
          <w:rtl/>
          <w:lang w:bidi="ar-EG"/>
        </w:rPr>
        <w:t xml:space="preserve"> </w:t>
      </w:r>
      <w:r w:rsidR="00A7106B" w:rsidRPr="00F24920">
        <w:rPr>
          <w:rFonts w:asciiTheme="majorBidi" w:hAnsiTheme="majorBidi" w:cs="Times New Roman" w:hint="cs"/>
          <w:b/>
          <w:color w:val="000000" w:themeColor="text1"/>
          <w:sz w:val="24"/>
          <w:szCs w:val="24"/>
          <w:rtl/>
          <w:lang w:bidi="ar-EG"/>
        </w:rPr>
        <w:t>الخدمات</w:t>
      </w:r>
      <w:r w:rsidRPr="00F11112">
        <w:rPr>
          <w:rFonts w:asciiTheme="majorBidi" w:hAnsiTheme="majorBidi" w:cs="Times New Roman" w:hint="cs"/>
          <w:bCs/>
          <w:color w:val="000000" w:themeColor="text1"/>
          <w:sz w:val="24"/>
          <w:szCs w:val="24"/>
          <w:rtl/>
          <w:lang w:bidi="ar-EG"/>
        </w:rPr>
        <w:t xml:space="preserve"> </w:t>
      </w:r>
      <w:r>
        <w:rPr>
          <w:rFonts w:asciiTheme="majorBidi" w:hAnsiTheme="majorBidi" w:cs="Times New Roman" w:hint="cs"/>
          <w:bCs/>
          <w:color w:val="000000" w:themeColor="text1"/>
          <w:sz w:val="24"/>
          <w:szCs w:val="24"/>
          <w:rtl/>
          <w:lang w:bidi="ar-EG"/>
        </w:rPr>
        <w:t xml:space="preserve">، وذلك بالمملكة الاردنية الهاشمية خلال الفترة من30 مارس حتى </w:t>
      </w:r>
      <w:r w:rsidRPr="00F24920">
        <w:rPr>
          <w:rFonts w:asciiTheme="majorBidi" w:hAnsiTheme="majorBidi" w:cs="Times New Roman"/>
          <w:bCs/>
          <w:color w:val="000000" w:themeColor="text1"/>
          <w:sz w:val="24"/>
          <w:szCs w:val="24"/>
          <w:rtl/>
          <w:lang w:bidi="ar-EG"/>
        </w:rPr>
        <w:t xml:space="preserve"> 4 </w:t>
      </w:r>
      <w:r w:rsidRPr="00F24920">
        <w:rPr>
          <w:rFonts w:asciiTheme="majorBidi" w:hAnsiTheme="majorBidi" w:cs="Times New Roman" w:hint="cs"/>
          <w:bCs/>
          <w:color w:val="000000" w:themeColor="text1"/>
          <w:sz w:val="24"/>
          <w:szCs w:val="24"/>
          <w:rtl/>
          <w:lang w:bidi="ar-EG"/>
        </w:rPr>
        <w:t>أبريل</w:t>
      </w:r>
      <w:r w:rsidRPr="00F24920">
        <w:rPr>
          <w:rFonts w:asciiTheme="majorBidi" w:hAnsiTheme="majorBidi" w:cs="Times New Roman"/>
          <w:bCs/>
          <w:color w:val="000000" w:themeColor="text1"/>
          <w:sz w:val="24"/>
          <w:szCs w:val="24"/>
          <w:rtl/>
          <w:lang w:bidi="ar-EG"/>
        </w:rPr>
        <w:t xml:space="preserve"> 2019 </w:t>
      </w:r>
      <w:r>
        <w:rPr>
          <w:rFonts w:asciiTheme="majorBidi" w:hAnsiTheme="majorBidi" w:cstheme="majorBidi" w:hint="cs"/>
          <w:b/>
          <w:color w:val="000000" w:themeColor="text1"/>
          <w:sz w:val="24"/>
          <w:szCs w:val="24"/>
          <w:rtl/>
          <w:lang w:bidi="ar-EG"/>
        </w:rPr>
        <w:t xml:space="preserve">وقد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حضر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التدريب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15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مسؤولاً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ومفاوضاً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من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سبع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وزارات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ووكالات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حكوم</w:t>
      </w:r>
      <w:bookmarkStart w:id="0" w:name="_GoBack"/>
      <w:bookmarkEnd w:id="0"/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ية،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977449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من المسئولين عن الموضوعات الفنية للتجارة في الخدمات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977449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،</w:t>
      </w:r>
      <w:r w:rsidR="00C73EA9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 xml:space="preserve"> </w:t>
      </w:r>
      <w:r w:rsidR="00EA4F6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 xml:space="preserve">واللذين شاركوا في </w:t>
      </w:r>
      <w:r w:rsidR="00C73EA9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مناقشة م</w:t>
      </w:r>
      <w:r w:rsidR="009C45E3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 xml:space="preserve">واد </w:t>
      </w:r>
      <w:r w:rsidR="00977449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لاتفاقية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العامة</w:t>
      </w:r>
      <w:r w:rsidR="00977449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 xml:space="preserve"> للتجارة في الخدمات ب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منظمة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التجارة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العالمية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977449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واتفاقية تحرير التجارة في الخدمات بين الدول العربية.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كما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شارك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مسؤولون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من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جامعة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الدول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العربية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في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التدريب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977449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ل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مساعدة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الوفد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23C15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العراقي</w:t>
      </w:r>
      <w:r w:rsidR="00F23C15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>.</w:t>
      </w:r>
    </w:p>
    <w:p w14:paraId="2346849A" w14:textId="625D062B" w:rsidR="00B250BD" w:rsidRPr="00F24920" w:rsidRDefault="00EA4F6D" w:rsidP="00F6768B">
      <w:pPr>
        <w:bidi/>
        <w:jc w:val="lowKashida"/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</w:pPr>
      <w:r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 xml:space="preserve">وقد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حقق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التدريب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هدفه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الرئيسي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وهو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تزويد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المسؤولين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العراقيين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بالمعارف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والمهارات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9C45E3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الفنية اللازمة ل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تطوير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السياسات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الوطنية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نحو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المشاركة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المقبلة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في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الاتفاقية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العربية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للتجارة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في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الخدمات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. </w:t>
      </w:r>
      <w:r w:rsidR="00590D3B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و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تم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تزويد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المشاركين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بفهم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موضوعي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D6221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لنماذج التفاوض حول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التجارة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في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الخدمات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،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تمشيا</w:t>
      </w:r>
      <w:r w:rsidR="00590D3B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ً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مع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الممارسات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الدولية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مع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مراعاة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المساهمة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الإيجابية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FD6221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في ا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لتعاون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العربي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. </w:t>
      </w:r>
      <w:r w:rsidR="00FD6221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 xml:space="preserve">وقد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تم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تقديم</w:t>
      </w:r>
      <w:r w:rsidR="00FD6221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 xml:space="preserve"> التدريب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من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خلال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التدريبات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العملية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،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590D3B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و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التبادل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التفاعلي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للآراء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بين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صانعي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السياسة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الوطنية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590D3B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 xml:space="preserve">المشاركين في التدريب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وجلسات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مخصصة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لمناقشة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سبل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المضي</w:t>
      </w:r>
      <w:r w:rsidR="00B250BD" w:rsidRPr="00F24920">
        <w:rPr>
          <w:rFonts w:asciiTheme="majorBidi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B250BD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قدما</w:t>
      </w:r>
      <w:r w:rsidR="00590D3B" w:rsidRPr="00F24920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EG"/>
        </w:rPr>
        <w:t>ً</w:t>
      </w:r>
      <w:r w:rsidR="00B250BD" w:rsidRPr="00F24920">
        <w:rPr>
          <w:rFonts w:asciiTheme="majorBidi" w:hAnsiTheme="majorBidi" w:cstheme="majorBidi"/>
          <w:color w:val="000000" w:themeColor="text1"/>
          <w:sz w:val="24"/>
          <w:szCs w:val="24"/>
          <w:lang w:bidi="ar-EG"/>
        </w:rPr>
        <w:t>.</w:t>
      </w:r>
    </w:p>
    <w:p w14:paraId="3E3CA854" w14:textId="0D3F2427" w:rsidR="006E0DBC" w:rsidRPr="00F24920" w:rsidRDefault="006E0DBC" w:rsidP="00F6768B">
      <w:pPr>
        <w:bidi/>
        <w:jc w:val="lowKashida"/>
        <w:rPr>
          <w:rFonts w:asciiTheme="majorBidi" w:eastAsia="MS Mincho" w:hAnsiTheme="majorBidi" w:cstheme="majorBidi"/>
          <w:color w:val="000000" w:themeColor="text1"/>
          <w:sz w:val="24"/>
          <w:szCs w:val="24"/>
          <w:lang w:bidi="ar-EG"/>
        </w:rPr>
      </w:pP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قدم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التدريب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خبراء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من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برنامج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الأمم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المتحدة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الإنمائي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والسيد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خير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الدين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رامول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،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مسؤول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الشؤون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الاقتصادية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بالأونكتاد</w:t>
      </w:r>
      <w:r w:rsidR="00314733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،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في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شراكة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مشتركة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لدعم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314733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الدول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العربية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في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مواءمة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ممارسات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السياسة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التجارية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مع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المنبر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المتعدد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الأطراف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للتجارة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العالمية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ضمن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برامجها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للتنويع</w:t>
      </w:r>
      <w:r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الاقتصادي</w:t>
      </w:r>
      <w:r w:rsidRPr="00F24920">
        <w:rPr>
          <w:rFonts w:asciiTheme="majorBidi" w:eastAsia="MS Mincho" w:hAnsiTheme="majorBidi" w:cstheme="majorBidi"/>
          <w:color w:val="000000" w:themeColor="text1"/>
          <w:sz w:val="24"/>
          <w:szCs w:val="24"/>
          <w:lang w:bidi="ar-EG"/>
        </w:rPr>
        <w:t>.</w:t>
      </w:r>
    </w:p>
    <w:p w14:paraId="3230A870" w14:textId="2268C33F" w:rsidR="00C82159" w:rsidRPr="00F24920" w:rsidRDefault="00D2592B" w:rsidP="00F6768B">
      <w:pPr>
        <w:bidi/>
        <w:jc w:val="lowKashida"/>
        <w:rPr>
          <w:rFonts w:asciiTheme="majorBidi" w:eastAsia="MS Mincho" w:hAnsiTheme="majorBidi" w:cstheme="majorBidi"/>
          <w:color w:val="000000" w:themeColor="text1"/>
          <w:sz w:val="24"/>
          <w:szCs w:val="24"/>
          <w:lang w:bidi="ar-EG"/>
        </w:rPr>
      </w:pPr>
      <w:r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و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أعرب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المسؤولون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العراقيون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والمشاركون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من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جامعة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الدول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العربية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وبرنامج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الأمم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المتحدة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الإنمائي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عن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تقديرهم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الكبير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للدعم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الذي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تقدمه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الوكالة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السويدية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للتعاون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الإنمائي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الدولي</w:t>
      </w:r>
      <w:r w:rsidR="00C82159" w:rsidRPr="00F24920">
        <w:rPr>
          <w:rFonts w:asciiTheme="majorBidi" w:eastAsia="MS Mincho" w:hAnsiTheme="majorBidi" w:cstheme="majorBidi"/>
          <w:color w:val="000000" w:themeColor="text1"/>
          <w:sz w:val="24"/>
          <w:szCs w:val="24"/>
          <w:lang w:bidi="ar-EG"/>
        </w:rPr>
        <w:t xml:space="preserve"> (Sida)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للبلدان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العربية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ولجامعة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الدول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العربية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لتعزيز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التكامل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الاقتصادي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والتعاون</w:t>
      </w:r>
      <w:r w:rsidR="00C82159" w:rsidRPr="00F24920">
        <w:rPr>
          <w:rFonts w:asciiTheme="majorBidi" w:eastAsia="MS Mincho" w:hAnsiTheme="majorBidi" w:cs="Times New Roman"/>
          <w:color w:val="000000" w:themeColor="text1"/>
          <w:sz w:val="24"/>
          <w:szCs w:val="24"/>
          <w:rtl/>
          <w:lang w:bidi="ar-EG"/>
        </w:rPr>
        <w:t xml:space="preserve"> </w:t>
      </w:r>
      <w:r w:rsidR="00C82159" w:rsidRPr="00F24920">
        <w:rPr>
          <w:rFonts w:asciiTheme="majorBidi" w:eastAsia="MS Mincho" w:hAnsiTheme="majorBidi" w:cs="Times New Roman" w:hint="cs"/>
          <w:color w:val="000000" w:themeColor="text1"/>
          <w:sz w:val="24"/>
          <w:szCs w:val="24"/>
          <w:rtl/>
          <w:lang w:bidi="ar-EG"/>
        </w:rPr>
        <w:t>الإقليمي</w:t>
      </w:r>
      <w:r w:rsidR="00C82159" w:rsidRPr="00F24920">
        <w:rPr>
          <w:rFonts w:asciiTheme="majorBidi" w:eastAsia="MS Mincho" w:hAnsiTheme="majorBidi" w:cstheme="majorBidi"/>
          <w:color w:val="000000" w:themeColor="text1"/>
          <w:sz w:val="24"/>
          <w:szCs w:val="24"/>
          <w:lang w:bidi="ar-EG"/>
        </w:rPr>
        <w:t>.</w:t>
      </w:r>
    </w:p>
    <w:p w14:paraId="4E3AF4B0" w14:textId="77777777" w:rsidR="00CF7DB7" w:rsidRPr="00F24920" w:rsidRDefault="00D16A2B" w:rsidP="00071AE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pict w14:anchorId="0D7C3FA5">
          <v:rect id="_x0000_i1025" style="width:0;height:1.5pt" o:hralign="center" o:hrstd="t" o:hr="t" fillcolor="#a0a0a0" stroked="f"/>
        </w:pict>
      </w:r>
    </w:p>
    <w:p w14:paraId="560580C9" w14:textId="77777777" w:rsidR="00CF7DB7" w:rsidRPr="00F24920" w:rsidRDefault="00CF7DB7" w:rsidP="00071AE3">
      <w:pPr>
        <w:bidi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664CA8A2" w14:textId="07657034" w:rsidR="00812C6D" w:rsidRPr="00F24920" w:rsidRDefault="00F11112" w:rsidP="00071AE3">
      <w:pPr>
        <w:tabs>
          <w:tab w:val="left" w:pos="3600"/>
        </w:tabs>
        <w:bidi/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  <w:lang w:val="fr-FR"/>
        </w:rPr>
      </w:pPr>
      <w:r>
        <w:rPr>
          <w:rFonts w:asciiTheme="majorBidi" w:hAnsiTheme="majorBidi" w:cstheme="majorBidi" w:hint="cs"/>
          <w:b/>
          <w:bCs/>
          <w:i/>
          <w:iCs/>
          <w:color w:val="000000" w:themeColor="text1"/>
          <w:sz w:val="28"/>
          <w:szCs w:val="28"/>
          <w:u w:val="single"/>
          <w:rtl/>
          <w:lang w:bidi="ar-EG"/>
        </w:rPr>
        <w:t xml:space="preserve"> </w:t>
      </w:r>
    </w:p>
    <w:sectPr w:rsidR="00812C6D" w:rsidRPr="00F24920" w:rsidSect="00C8126C">
      <w:headerReference w:type="default" r:id="rId8"/>
      <w:pgSz w:w="11907" w:h="16839" w:code="9"/>
      <w:pgMar w:top="2601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17417" w14:textId="77777777" w:rsidR="00D16A2B" w:rsidRDefault="00D16A2B" w:rsidP="00F02142">
      <w:pPr>
        <w:spacing w:after="0" w:line="240" w:lineRule="auto"/>
      </w:pPr>
      <w:r>
        <w:separator/>
      </w:r>
    </w:p>
  </w:endnote>
  <w:endnote w:type="continuationSeparator" w:id="0">
    <w:p w14:paraId="3CAE488F" w14:textId="77777777" w:rsidR="00D16A2B" w:rsidRDefault="00D16A2B" w:rsidP="00F0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B44D9" w14:textId="77777777" w:rsidR="00D16A2B" w:rsidRDefault="00D16A2B" w:rsidP="00F02142">
      <w:pPr>
        <w:spacing w:after="0" w:line="240" w:lineRule="auto"/>
      </w:pPr>
      <w:r>
        <w:separator/>
      </w:r>
    </w:p>
  </w:footnote>
  <w:footnote w:type="continuationSeparator" w:id="0">
    <w:p w14:paraId="0F7D2543" w14:textId="77777777" w:rsidR="00D16A2B" w:rsidRDefault="00D16A2B" w:rsidP="00F02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C8C1D" w14:textId="10798A9E" w:rsidR="00F02142" w:rsidRDefault="00F54302" w:rsidP="00B641BD">
    <w:pPr>
      <w:pStyle w:val="Header"/>
    </w:pPr>
    <w:r>
      <w:rPr>
        <w:rFonts w:ascii="Arial" w:hAnsi="Arial"/>
        <w:b/>
        <w:bCs/>
        <w:noProof/>
        <w:color w:val="000000" w:themeColor="text1"/>
      </w:rPr>
      <w:drawing>
        <wp:anchor distT="0" distB="0" distL="114300" distR="114300" simplePos="0" relativeHeight="251657216" behindDoc="0" locked="0" layoutInCell="1" allowOverlap="1" wp14:anchorId="3CD2FBD1" wp14:editId="279AE20F">
          <wp:simplePos x="0" y="0"/>
          <wp:positionH relativeFrom="margin">
            <wp:posOffset>220980</wp:posOffset>
          </wp:positionH>
          <wp:positionV relativeFrom="paragraph">
            <wp:posOffset>-182880</wp:posOffset>
          </wp:positionV>
          <wp:extent cx="702310" cy="1371600"/>
          <wp:effectExtent l="0" t="0" r="254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DP_Logo-Blue w Tagline-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31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26C">
      <w:rPr>
        <w:rFonts w:ascii="Arial" w:hAnsi="Arial"/>
        <w:b/>
        <w:bCs/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3E2964DB" wp14:editId="442055BB">
          <wp:simplePos x="0" y="0"/>
          <wp:positionH relativeFrom="margin">
            <wp:posOffset>4953000</wp:posOffset>
          </wp:positionH>
          <wp:positionV relativeFrom="paragraph">
            <wp:posOffset>-277495</wp:posOffset>
          </wp:positionV>
          <wp:extent cx="1343025" cy="1428115"/>
          <wp:effectExtent l="0" t="0" r="9525" b="635"/>
          <wp:wrapNone/>
          <wp:docPr id="43" name="Picture 43" descr="logo-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63" descr="logo-H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42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2142">
      <w:t xml:space="preserve">            </w:t>
    </w:r>
    <w:r w:rsidR="00796D9F">
      <w:t xml:space="preserve">                               </w:t>
    </w:r>
    <w:r w:rsidR="00796D9F">
      <w:rPr>
        <w:noProof/>
      </w:rPr>
      <w:t xml:space="preserve">       </w:t>
    </w:r>
    <w:r w:rsidR="00F02142">
      <w:t xml:space="preserve">                  </w:t>
    </w:r>
    <w:r w:rsidR="00796D9F">
      <w:rPr>
        <w:noProof/>
      </w:rPr>
      <w:t xml:space="preserve">    </w:t>
    </w:r>
    <w:r w:rsidR="00F02142">
      <w:t xml:space="preserve">    </w:t>
    </w:r>
    <w:r w:rsidR="00B641BD" w:rsidRPr="00071DFC">
      <w:rPr>
        <w:b/>
        <w:bCs/>
        <w:i/>
        <w:iCs/>
        <w:noProof/>
      </w:rPr>
      <w:drawing>
        <wp:inline distT="0" distB="0" distL="0" distR="0" wp14:anchorId="5C80AFB5" wp14:editId="4FE1A146">
          <wp:extent cx="1457325" cy="609600"/>
          <wp:effectExtent l="0" t="0" r="9525" b="0"/>
          <wp:docPr id="1" name="Picture 1" descr="SIDA logo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DA logo cropp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02142">
      <w:t xml:space="preserve">        </w:t>
    </w:r>
    <w:r w:rsidR="00796D9F">
      <w:t xml:space="preserve"> </w:t>
    </w:r>
    <w:r w:rsidR="00F02142">
      <w:t xml:space="preserve">       </w:t>
    </w:r>
    <w:r w:rsidR="00F02142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0784"/>
    <w:multiLevelType w:val="hybridMultilevel"/>
    <w:tmpl w:val="2AD6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F588D"/>
    <w:multiLevelType w:val="hybridMultilevel"/>
    <w:tmpl w:val="52C4B9C6"/>
    <w:lvl w:ilvl="0" w:tplc="B5A618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57410"/>
    <w:multiLevelType w:val="hybridMultilevel"/>
    <w:tmpl w:val="771CFB5A"/>
    <w:lvl w:ilvl="0" w:tplc="30F0D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356EF"/>
    <w:multiLevelType w:val="hybridMultilevel"/>
    <w:tmpl w:val="C2328F8A"/>
    <w:lvl w:ilvl="0" w:tplc="ED626D7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A2"/>
    <w:rsid w:val="00004F92"/>
    <w:rsid w:val="00015944"/>
    <w:rsid w:val="0003332E"/>
    <w:rsid w:val="00051872"/>
    <w:rsid w:val="0005509A"/>
    <w:rsid w:val="00071AE3"/>
    <w:rsid w:val="000730D6"/>
    <w:rsid w:val="000809B7"/>
    <w:rsid w:val="000843DB"/>
    <w:rsid w:val="00085206"/>
    <w:rsid w:val="00087E00"/>
    <w:rsid w:val="0009075F"/>
    <w:rsid w:val="000C261C"/>
    <w:rsid w:val="001123A6"/>
    <w:rsid w:val="0019035C"/>
    <w:rsid w:val="001D2AB4"/>
    <w:rsid w:val="002239C7"/>
    <w:rsid w:val="0024000B"/>
    <w:rsid w:val="002763C0"/>
    <w:rsid w:val="0028271F"/>
    <w:rsid w:val="00296D5D"/>
    <w:rsid w:val="002D7A2E"/>
    <w:rsid w:val="002E30EE"/>
    <w:rsid w:val="002F0EEB"/>
    <w:rsid w:val="00300453"/>
    <w:rsid w:val="003043A2"/>
    <w:rsid w:val="00314733"/>
    <w:rsid w:val="00330D3E"/>
    <w:rsid w:val="00343E94"/>
    <w:rsid w:val="00356590"/>
    <w:rsid w:val="003650AA"/>
    <w:rsid w:val="00373A84"/>
    <w:rsid w:val="00373D2D"/>
    <w:rsid w:val="00390E9C"/>
    <w:rsid w:val="00394AD1"/>
    <w:rsid w:val="003D23EF"/>
    <w:rsid w:val="003E2BDC"/>
    <w:rsid w:val="003E2F95"/>
    <w:rsid w:val="00403349"/>
    <w:rsid w:val="00436ECB"/>
    <w:rsid w:val="00447E0E"/>
    <w:rsid w:val="00476D20"/>
    <w:rsid w:val="004832A6"/>
    <w:rsid w:val="0049336D"/>
    <w:rsid w:val="00494B32"/>
    <w:rsid w:val="004A1FA2"/>
    <w:rsid w:val="004A36BC"/>
    <w:rsid w:val="004A72D5"/>
    <w:rsid w:val="004B5B22"/>
    <w:rsid w:val="004B79ED"/>
    <w:rsid w:val="00504370"/>
    <w:rsid w:val="005050E9"/>
    <w:rsid w:val="005151F1"/>
    <w:rsid w:val="00526A18"/>
    <w:rsid w:val="005362FC"/>
    <w:rsid w:val="005456D3"/>
    <w:rsid w:val="0056581D"/>
    <w:rsid w:val="00587B8C"/>
    <w:rsid w:val="00590D3B"/>
    <w:rsid w:val="005A1429"/>
    <w:rsid w:val="005C251F"/>
    <w:rsid w:val="00600533"/>
    <w:rsid w:val="006118AD"/>
    <w:rsid w:val="00630F62"/>
    <w:rsid w:val="00642354"/>
    <w:rsid w:val="00644CDF"/>
    <w:rsid w:val="00657EB9"/>
    <w:rsid w:val="00663B4D"/>
    <w:rsid w:val="00667537"/>
    <w:rsid w:val="0069540B"/>
    <w:rsid w:val="006C0F52"/>
    <w:rsid w:val="006E0DBC"/>
    <w:rsid w:val="006E7083"/>
    <w:rsid w:val="006E761D"/>
    <w:rsid w:val="00720A14"/>
    <w:rsid w:val="0072302F"/>
    <w:rsid w:val="00783E10"/>
    <w:rsid w:val="00796D9F"/>
    <w:rsid w:val="007E7A0A"/>
    <w:rsid w:val="00812C6D"/>
    <w:rsid w:val="00852A47"/>
    <w:rsid w:val="00855F43"/>
    <w:rsid w:val="00876880"/>
    <w:rsid w:val="00882E7E"/>
    <w:rsid w:val="0089623A"/>
    <w:rsid w:val="008A7EC9"/>
    <w:rsid w:val="008C1430"/>
    <w:rsid w:val="008C23F9"/>
    <w:rsid w:val="00931248"/>
    <w:rsid w:val="0095619B"/>
    <w:rsid w:val="0096043C"/>
    <w:rsid w:val="00961E52"/>
    <w:rsid w:val="00970361"/>
    <w:rsid w:val="00977449"/>
    <w:rsid w:val="009B465E"/>
    <w:rsid w:val="009C45E3"/>
    <w:rsid w:val="00A039BC"/>
    <w:rsid w:val="00A16E2D"/>
    <w:rsid w:val="00A7024B"/>
    <w:rsid w:val="00A7106B"/>
    <w:rsid w:val="00AA0D7D"/>
    <w:rsid w:val="00AE7C2E"/>
    <w:rsid w:val="00AF5320"/>
    <w:rsid w:val="00B17CD0"/>
    <w:rsid w:val="00B24155"/>
    <w:rsid w:val="00B250BD"/>
    <w:rsid w:val="00B5365B"/>
    <w:rsid w:val="00B641BD"/>
    <w:rsid w:val="00B7062D"/>
    <w:rsid w:val="00BF264E"/>
    <w:rsid w:val="00BF4CC8"/>
    <w:rsid w:val="00BF6DCE"/>
    <w:rsid w:val="00C0477C"/>
    <w:rsid w:val="00C24D59"/>
    <w:rsid w:val="00C314C7"/>
    <w:rsid w:val="00C416BF"/>
    <w:rsid w:val="00C73EA9"/>
    <w:rsid w:val="00C8126C"/>
    <w:rsid w:val="00C82159"/>
    <w:rsid w:val="00CB0F94"/>
    <w:rsid w:val="00CE35A2"/>
    <w:rsid w:val="00CF7DB7"/>
    <w:rsid w:val="00D048B0"/>
    <w:rsid w:val="00D1340A"/>
    <w:rsid w:val="00D16A2B"/>
    <w:rsid w:val="00D17E28"/>
    <w:rsid w:val="00D2592B"/>
    <w:rsid w:val="00D34512"/>
    <w:rsid w:val="00D3749F"/>
    <w:rsid w:val="00D53162"/>
    <w:rsid w:val="00D71C0F"/>
    <w:rsid w:val="00D745AB"/>
    <w:rsid w:val="00DC01CC"/>
    <w:rsid w:val="00DD4F71"/>
    <w:rsid w:val="00DD5593"/>
    <w:rsid w:val="00E03D61"/>
    <w:rsid w:val="00E56D91"/>
    <w:rsid w:val="00E57C94"/>
    <w:rsid w:val="00E61F39"/>
    <w:rsid w:val="00E71D8F"/>
    <w:rsid w:val="00E86F41"/>
    <w:rsid w:val="00E9160F"/>
    <w:rsid w:val="00EA4F6D"/>
    <w:rsid w:val="00ED0401"/>
    <w:rsid w:val="00EE6CB8"/>
    <w:rsid w:val="00F02142"/>
    <w:rsid w:val="00F022EB"/>
    <w:rsid w:val="00F11112"/>
    <w:rsid w:val="00F23C15"/>
    <w:rsid w:val="00F24920"/>
    <w:rsid w:val="00F35275"/>
    <w:rsid w:val="00F409DB"/>
    <w:rsid w:val="00F5142C"/>
    <w:rsid w:val="00F54302"/>
    <w:rsid w:val="00F6768B"/>
    <w:rsid w:val="00F95B70"/>
    <w:rsid w:val="00FD43DC"/>
    <w:rsid w:val="00FD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57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9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275"/>
    <w:rPr>
      <w:color w:val="0563C1" w:themeColor="hyperlink"/>
      <w:u w:val="single"/>
    </w:rPr>
  </w:style>
  <w:style w:type="paragraph" w:styleId="ListParagraph">
    <w:name w:val="List Paragraph"/>
    <w:aliases w:val="Bullets,List Paragraph1,Heading,List Paragraph (numbered (a)),WB Para"/>
    <w:basedOn w:val="Normal"/>
    <w:link w:val="ListParagraphChar"/>
    <w:uiPriority w:val="34"/>
    <w:qFormat/>
    <w:rsid w:val="008C1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4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02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42"/>
    <w:rPr>
      <w:rFonts w:ascii="Calibri" w:eastAsia="Calibri" w:hAnsi="Calibri" w:cs="Arial"/>
    </w:rPr>
  </w:style>
  <w:style w:type="paragraph" w:styleId="NormalWeb">
    <w:name w:val="Normal (Web)"/>
    <w:basedOn w:val="Normal"/>
    <w:qFormat/>
    <w:rsid w:val="00373A84"/>
    <w:pPr>
      <w:spacing w:before="100" w:beforeAutospacing="1" w:after="100" w:afterAutospacing="1" w:line="340" w:lineRule="exact"/>
      <w:jc w:val="both"/>
    </w:pPr>
    <w:rPr>
      <w:rFonts w:ascii="Verdana" w:eastAsia="MS Mincho" w:hAnsi="Verdan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30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D0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Bullets Char,List Paragraph1 Char,Heading Char,List Paragraph (numbered (a)) Char,WB Para Char"/>
    <w:link w:val="ListParagraph"/>
    <w:uiPriority w:val="34"/>
    <w:rsid w:val="00855F43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E94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5275"/>
    <w:rPr>
      <w:color w:val="0563C1" w:themeColor="hyperlink"/>
      <w:u w:val="single"/>
    </w:rPr>
  </w:style>
  <w:style w:type="paragraph" w:styleId="ListParagraph">
    <w:name w:val="List Paragraph"/>
    <w:aliases w:val="Bullets,List Paragraph1,Heading,List Paragraph (numbered (a)),WB Para"/>
    <w:basedOn w:val="Normal"/>
    <w:link w:val="ListParagraphChar"/>
    <w:uiPriority w:val="34"/>
    <w:qFormat/>
    <w:rsid w:val="008C1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14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021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42"/>
    <w:rPr>
      <w:rFonts w:ascii="Calibri" w:eastAsia="Calibri" w:hAnsi="Calibri" w:cs="Arial"/>
    </w:rPr>
  </w:style>
  <w:style w:type="paragraph" w:styleId="NormalWeb">
    <w:name w:val="Normal (Web)"/>
    <w:basedOn w:val="Normal"/>
    <w:qFormat/>
    <w:rsid w:val="00373A84"/>
    <w:pPr>
      <w:spacing w:before="100" w:beforeAutospacing="1" w:after="100" w:afterAutospacing="1" w:line="340" w:lineRule="exact"/>
      <w:jc w:val="both"/>
    </w:pPr>
    <w:rPr>
      <w:rFonts w:ascii="Verdana" w:eastAsia="MS Mincho" w:hAnsi="Verdan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2302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CD0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Bullets Char,List Paragraph1 Char,Heading Char,List Paragraph (numbered (a)) Char,WB Para Char"/>
    <w:link w:val="ListParagraph"/>
    <w:uiPriority w:val="34"/>
    <w:rsid w:val="00855F43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c42303e8-0c6e-4fe1-ad77-703f597f015e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556E32-0FC2-499D-BBE7-010FEA7185B1}"/>
</file>

<file path=customXml/itemProps2.xml><?xml version="1.0" encoding="utf-8"?>
<ds:datastoreItem xmlns:ds="http://schemas.openxmlformats.org/officeDocument/2006/customXml" ds:itemID="{967D62E9-7656-4E94-A77A-B47802194393}"/>
</file>

<file path=customXml/itemProps3.xml><?xml version="1.0" encoding="utf-8"?>
<ds:datastoreItem xmlns:ds="http://schemas.openxmlformats.org/officeDocument/2006/customXml" ds:itemID="{859C6BBC-0778-4BEE-BFCC-3BA3FD8C42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Release; Trade Services Iraq April 2019</vt:lpstr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Release; Trade Services Iraq April 2019</dc:title>
  <dc:creator>PC;Quang Anh Le CTA</dc:creator>
  <cp:keywords>Modernization  Trade Policies</cp:keywords>
  <cp:lastModifiedBy>Mohamed Abdel Fattah Ahmed</cp:lastModifiedBy>
  <cp:revision>2</cp:revision>
  <dcterms:created xsi:type="dcterms:W3CDTF">2019-04-18T11:29:00Z</dcterms:created>
  <dcterms:modified xsi:type="dcterms:W3CDTF">2019-04-18T11:29:00Z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